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720A" w:rsidRPr="001B720A" w:rsidRDefault="001B720A">
      <w:pPr>
        <w:rPr>
          <w:b/>
        </w:rPr>
      </w:pPr>
      <w:r w:rsidRPr="001B720A">
        <w:rPr>
          <w:b/>
        </w:rPr>
        <w:t>Teacher Directions</w:t>
      </w:r>
    </w:p>
    <w:p w:rsidR="001B720A" w:rsidRDefault="001B720A">
      <w:r>
        <w:t>Hippie and Hobbes</w:t>
      </w:r>
    </w:p>
    <w:p w:rsidR="001B720A" w:rsidRDefault="001B720A"/>
    <w:p w:rsidR="00C6558C" w:rsidRPr="00C6558C" w:rsidRDefault="00C6558C" w:rsidP="001B720A">
      <w:pPr>
        <w:pStyle w:val="ListParagraph"/>
        <w:numPr>
          <w:ilvl w:val="0"/>
          <w:numId w:val="2"/>
        </w:numPr>
        <w:rPr>
          <w:b/>
        </w:rPr>
      </w:pPr>
      <w:r w:rsidRPr="00C6558C">
        <w:rPr>
          <w:b/>
        </w:rPr>
        <w:t xml:space="preserve">Play Movie 1 </w:t>
      </w:r>
    </w:p>
    <w:p w:rsidR="00C6558C" w:rsidRDefault="00C6558C" w:rsidP="00C6558C">
      <w:pPr>
        <w:pStyle w:val="ListParagraph"/>
      </w:pPr>
    </w:p>
    <w:p w:rsidR="001B720A" w:rsidRDefault="001B720A" w:rsidP="00C6558C">
      <w:pPr>
        <w:pStyle w:val="ListParagraph"/>
        <w:numPr>
          <w:ilvl w:val="0"/>
          <w:numId w:val="2"/>
        </w:numPr>
      </w:pPr>
      <w:r>
        <w:t>Provide each student with a Student Recording Sheet</w:t>
      </w:r>
      <w:r w:rsidR="00C6558C">
        <w:t xml:space="preserve"> and a No Government payoff form</w:t>
      </w:r>
      <w:r>
        <w:t>.</w:t>
      </w:r>
    </w:p>
    <w:p w:rsidR="001B720A" w:rsidRDefault="001B720A" w:rsidP="001B720A">
      <w:pPr>
        <w:pStyle w:val="ListParagraph"/>
      </w:pPr>
    </w:p>
    <w:p w:rsidR="001B720A" w:rsidRDefault="001B720A" w:rsidP="00C6558C">
      <w:pPr>
        <w:pStyle w:val="ListParagraph"/>
        <w:numPr>
          <w:ilvl w:val="0"/>
          <w:numId w:val="2"/>
        </w:numPr>
      </w:pPr>
      <w:r>
        <w:t>Inform the students that they will be playing a several i</w:t>
      </w:r>
      <w:r w:rsidR="00A41225">
        <w:t>terations of a game similar to Rock, Paper, and Scissors</w:t>
      </w:r>
      <w:r>
        <w:t>.</w:t>
      </w:r>
    </w:p>
    <w:p w:rsidR="001B720A" w:rsidRDefault="001B720A" w:rsidP="001B720A"/>
    <w:p w:rsidR="00A41225" w:rsidRDefault="00A41225" w:rsidP="001B720A">
      <w:pPr>
        <w:pStyle w:val="ListParagraph"/>
        <w:numPr>
          <w:ilvl w:val="0"/>
          <w:numId w:val="2"/>
        </w:numPr>
      </w:pPr>
      <w:r>
        <w:t xml:space="preserve">Have the class count off ‘by twos’. Inform the ‘ones’ that they will remain seated during the game and </w:t>
      </w:r>
      <w:r w:rsidR="002E6D64">
        <w:t xml:space="preserve">be Player Blue. Inform the ‘twos’ that they </w:t>
      </w:r>
      <w:r>
        <w:t>will be standing</w:t>
      </w:r>
      <w:r w:rsidR="002E6D64">
        <w:t xml:space="preserve"> during the game and be Player Red</w:t>
      </w:r>
      <w:r>
        <w:t>.</w:t>
      </w:r>
    </w:p>
    <w:p w:rsidR="00A41225" w:rsidRDefault="00A41225" w:rsidP="00A41225"/>
    <w:p w:rsidR="00A41225" w:rsidRDefault="00A41225" w:rsidP="001B720A">
      <w:pPr>
        <w:pStyle w:val="ListParagraph"/>
        <w:numPr>
          <w:ilvl w:val="0"/>
          <w:numId w:val="2"/>
        </w:numPr>
      </w:pPr>
      <w:r>
        <w:t>Form a large circle with a number of desks equivalent to the number of students who counted off as a ‘one’.</w:t>
      </w:r>
      <w:r w:rsidR="00E24CA4">
        <w:t xml:space="preserve"> </w:t>
      </w:r>
    </w:p>
    <w:p w:rsidR="00A41225" w:rsidRDefault="00A41225" w:rsidP="00A41225"/>
    <w:p w:rsidR="00E24CA4" w:rsidRDefault="00A41225" w:rsidP="00221972">
      <w:pPr>
        <w:pStyle w:val="ListParagraph"/>
        <w:numPr>
          <w:ilvl w:val="0"/>
          <w:numId w:val="2"/>
        </w:numPr>
      </w:pPr>
      <w:r>
        <w:t>The ‘ones’ will take a seat at these desks</w:t>
      </w:r>
      <w:r w:rsidR="00E24CA4">
        <w:t xml:space="preserve"> facing the inside of the circle</w:t>
      </w:r>
      <w:r>
        <w:t>. Instruct the ‘twos’ to</w:t>
      </w:r>
      <w:r w:rsidR="00221972">
        <w:t xml:space="preserve"> form a standing circle</w:t>
      </w:r>
      <w:r w:rsidR="009E7436">
        <w:t xml:space="preserve"> within the seated circle. The ‘twos’ should</w:t>
      </w:r>
      <w:r w:rsidR="00221972">
        <w:t xml:space="preserve"> pair up and face one of the seated students.</w:t>
      </w:r>
      <w:r w:rsidR="009E7436">
        <w:t xml:space="preserve"> </w:t>
      </w:r>
    </w:p>
    <w:p w:rsidR="00E24CA4" w:rsidRDefault="00E24CA4" w:rsidP="00E24CA4"/>
    <w:p w:rsidR="00E24CA4" w:rsidRDefault="004F09D2" w:rsidP="00E24CA4">
      <w:r w:rsidRPr="004F09D2">
        <w:rPr>
          <w:b/>
          <w:noProof/>
        </w:rPr>
        <w:pict>
          <v:rect id="_x0000_s1037" style="position:absolute;margin-left:198pt;margin-top:10.55pt;width:34.5pt;height:31.25pt;z-index:251667456;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style="mso-next-textbox:#_x0000_s1037" inset=",7.2pt,,7.2pt">
              <w:txbxContent>
                <w:p w:rsidR="009A1B87" w:rsidRDefault="009A1B87">
                  <w:r>
                    <w:t xml:space="preserve">  1a</w:t>
                  </w:r>
                </w:p>
              </w:txbxContent>
            </v:textbox>
            <w10:wrap type="tight"/>
          </v:rect>
        </w:pict>
      </w:r>
    </w:p>
    <w:p w:rsidR="005E4CCB" w:rsidRDefault="005E4CCB" w:rsidP="00E24CA4"/>
    <w:p w:rsidR="005E4CCB" w:rsidRDefault="004F09D2" w:rsidP="005E4CCB">
      <w:r>
        <w:rPr>
          <w:noProof/>
        </w:rPr>
        <w:pict>
          <v:shapetype id="_x0000_t202" coordsize="21600,21600" o:spt="202" path="m0,0l0,21600,21600,21600,21600,0xe">
            <v:stroke joinstyle="miter"/>
            <v:path gradientshapeok="t" o:connecttype="rect"/>
          </v:shapetype>
          <v:shape id="_x0000_s1059" type="#_x0000_t202" style="position:absolute;margin-left:180pt;margin-top:18.45pt;width:1in;height:2in;z-index:251674624;mso-wrap-edited:f;mso-position-horizontal:absolute;mso-position-vertical:absolute" wrapcoords="0 0 21600 0 21600 21600 0 21600 0 0" filled="f" stroked="f">
            <v:fill o:detectmouseclick="t"/>
            <v:textbox inset=",7.2pt,,7.2pt">
              <w:txbxContent>
                <w:p w:rsidR="009A1B87" w:rsidRPr="006866A4" w:rsidRDefault="009A1B87">
                  <w:pPr>
                    <w:rPr>
                      <w:color w:val="FF0000"/>
                    </w:rPr>
                  </w:pPr>
                  <w:r>
                    <w:t xml:space="preserve">         </w:t>
                  </w:r>
                  <w:r w:rsidRPr="006866A4">
                    <w:rPr>
                      <w:color w:val="FF0000"/>
                    </w:rPr>
                    <w:t>2a</w:t>
                  </w:r>
                </w:p>
                <w:p w:rsidR="009A1B87" w:rsidRPr="006866A4" w:rsidRDefault="009A1B87">
                  <w:pPr>
                    <w:rPr>
                      <w:color w:val="FF0000"/>
                    </w:rPr>
                  </w:pPr>
                </w:p>
                <w:p w:rsidR="009A1B87" w:rsidRPr="006866A4" w:rsidRDefault="009A1B87">
                  <w:pPr>
                    <w:rPr>
                      <w:color w:val="FF0000"/>
                    </w:rPr>
                  </w:pPr>
                  <w:r w:rsidRPr="006866A4">
                    <w:rPr>
                      <w:color w:val="FF0000"/>
                    </w:rPr>
                    <w:t>2f            2b</w:t>
                  </w:r>
                </w:p>
                <w:p w:rsidR="009A1B87" w:rsidRPr="006866A4" w:rsidRDefault="009A1B87">
                  <w:pPr>
                    <w:rPr>
                      <w:color w:val="FF0000"/>
                    </w:rPr>
                  </w:pPr>
                </w:p>
                <w:p w:rsidR="009A1B87" w:rsidRPr="006866A4" w:rsidRDefault="009A1B87">
                  <w:pPr>
                    <w:rPr>
                      <w:color w:val="FF0000"/>
                    </w:rPr>
                  </w:pPr>
                </w:p>
                <w:p w:rsidR="009A1B87" w:rsidRPr="006866A4" w:rsidRDefault="009A1B87">
                  <w:pPr>
                    <w:rPr>
                      <w:color w:val="FF0000"/>
                    </w:rPr>
                  </w:pPr>
                </w:p>
                <w:p w:rsidR="009A1B87" w:rsidRPr="006866A4" w:rsidRDefault="009A1B87">
                  <w:pPr>
                    <w:rPr>
                      <w:color w:val="FF0000"/>
                    </w:rPr>
                  </w:pPr>
                  <w:r w:rsidRPr="006866A4">
                    <w:rPr>
                      <w:color w:val="FF0000"/>
                    </w:rPr>
                    <w:t>2e            2c</w:t>
                  </w:r>
                </w:p>
                <w:p w:rsidR="009A1B87" w:rsidRPr="006866A4" w:rsidRDefault="009A1B87">
                  <w:pPr>
                    <w:rPr>
                      <w:color w:val="FF0000"/>
                    </w:rPr>
                  </w:pPr>
                </w:p>
                <w:p w:rsidR="009A1B87" w:rsidRPr="006866A4" w:rsidRDefault="009A1B87">
                  <w:pPr>
                    <w:rPr>
                      <w:color w:val="FF0000"/>
                    </w:rPr>
                  </w:pPr>
                  <w:r w:rsidRPr="006866A4">
                    <w:rPr>
                      <w:color w:val="FF0000"/>
                    </w:rPr>
                    <w:t xml:space="preserve">         2d</w:t>
                  </w:r>
                </w:p>
              </w:txbxContent>
            </v:textbox>
            <w10:wrap type="tight"/>
          </v:shape>
        </w:pict>
      </w:r>
      <w:r>
        <w:rPr>
          <w:noProof/>
        </w:rPr>
        <w:pict>
          <v:rect id="_x0000_s1042" style="position:absolute;margin-left:252pt;margin-top:41.2pt;width:34.5pt;height:31.25pt;z-index:251671552;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style="mso-next-textbox:#_x0000_s1042" inset=",7.2pt,,7.2pt">
              <w:txbxContent>
                <w:p w:rsidR="009A1B87" w:rsidRDefault="009A1B87" w:rsidP="00E24CA4">
                  <w:pPr>
                    <w:tabs>
                      <w:tab w:val="left" w:pos="90"/>
                    </w:tabs>
                    <w:ind w:left="-90" w:firstLine="90"/>
                  </w:pPr>
                  <w:r>
                    <w:t xml:space="preserve">  1b</w:t>
                  </w:r>
                </w:p>
              </w:txbxContent>
            </v:textbox>
            <w10:wrap type="tight"/>
          </v:rect>
        </w:pict>
      </w:r>
    </w:p>
    <w:p w:rsidR="00221972" w:rsidRDefault="004F09D2" w:rsidP="009E7436">
      <w:pPr>
        <w:pStyle w:val="ListParagraph"/>
      </w:pPr>
      <w:r w:rsidRPr="004F09D2">
        <w:rPr>
          <w:b/>
          <w:noProof/>
        </w:rPr>
        <w:pict>
          <v:rect id="_x0000_s1041" style="position:absolute;left:0;text-align:left;margin-left:2in;margin-top:27.1pt;width:34.5pt;height:31.25pt;z-index:251670528;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inset=",7.2pt,,7.2pt">
              <w:txbxContent>
                <w:p w:rsidR="009A1B87" w:rsidRDefault="009A1B87">
                  <w:r>
                    <w:t xml:space="preserve">  1f</w:t>
                  </w:r>
                </w:p>
              </w:txbxContent>
            </v:textbox>
            <w10:wrap type="tight"/>
          </v:rect>
        </w:pict>
      </w:r>
    </w:p>
    <w:p w:rsidR="00221972" w:rsidRDefault="00221972" w:rsidP="00221972">
      <w:pPr>
        <w:pStyle w:val="ListParagraph"/>
      </w:pPr>
    </w:p>
    <w:p w:rsidR="00221972" w:rsidRDefault="00221972" w:rsidP="00221972">
      <w:pPr>
        <w:pStyle w:val="ListParagraph"/>
      </w:pPr>
    </w:p>
    <w:p w:rsidR="00221972" w:rsidRDefault="004F09D2" w:rsidP="00221972">
      <w:pPr>
        <w:pStyle w:val="ListParagraph"/>
      </w:pPr>
      <w:r w:rsidRPr="004F09D2">
        <w:rPr>
          <w:b/>
          <w:noProof/>
        </w:rPr>
        <w:pict>
          <v:rect id="_x0000_s1040" style="position:absolute;left:0;text-align:left;margin-left:2in;margin-top:38.9pt;width:34.5pt;height:31.25pt;z-index:251669504;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style="mso-next-textbox:#_x0000_s1040" inset=",7.2pt,,7.2pt">
              <w:txbxContent>
                <w:p w:rsidR="009A1B87" w:rsidRDefault="009A1B87">
                  <w:r>
                    <w:t xml:space="preserve">  1e</w:t>
                  </w:r>
                </w:p>
              </w:txbxContent>
            </v:textbox>
            <w10:wrap type="tight"/>
          </v:rect>
        </w:pict>
      </w:r>
    </w:p>
    <w:p w:rsidR="00221972" w:rsidRDefault="004F09D2" w:rsidP="00221972">
      <w:pPr>
        <w:pStyle w:val="ListParagraph"/>
      </w:pPr>
      <w:r>
        <w:rPr>
          <w:noProof/>
        </w:rPr>
        <w:pict>
          <v:rect id="_x0000_s1043" style="position:absolute;left:0;text-align:left;margin-left:253.5pt;margin-top:24.85pt;width:34.5pt;height:31.25pt;z-index:251672576;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style="mso-next-textbox:#_x0000_s1043" inset=",7.2pt,,7.2pt">
              <w:txbxContent>
                <w:p w:rsidR="009A1B87" w:rsidRDefault="009A1B87">
                  <w:r>
                    <w:t xml:space="preserve">  1c</w:t>
                  </w:r>
                </w:p>
              </w:txbxContent>
            </v:textbox>
            <w10:wrap type="tight"/>
          </v:rect>
        </w:pict>
      </w:r>
    </w:p>
    <w:p w:rsidR="00221972" w:rsidRDefault="00221972" w:rsidP="00221972">
      <w:pPr>
        <w:pStyle w:val="ListParagraph"/>
      </w:pPr>
    </w:p>
    <w:p w:rsidR="00221972" w:rsidRDefault="00221972" w:rsidP="00221972">
      <w:pPr>
        <w:pStyle w:val="ListParagraph"/>
      </w:pPr>
    </w:p>
    <w:p w:rsidR="00221972" w:rsidRDefault="004F09D2" w:rsidP="00221972">
      <w:pPr>
        <w:pStyle w:val="ListParagraph"/>
      </w:pPr>
      <w:r w:rsidRPr="004F09D2">
        <w:rPr>
          <w:b/>
          <w:noProof/>
        </w:rPr>
        <w:pict>
          <v:rect id="_x0000_s1058" style="position:absolute;left:0;text-align:left;margin-left:199.5pt;margin-top:45.9pt;width:34.5pt;height:31.25pt;z-index:251673600;mso-wrap-edited:f;mso-position-horizontal:absolute;mso-position-vertical:absolute" wrapcoords="-2700 -900 -3600 1800 -3600 27900 27000 27900 27900 6300 26100 0 23400 -900 -2700 -900" fillcolor="#3f80cd" strokecolor="#4a7ebb" strokeweight="1.5pt">
            <v:fill color2="#9bc1ff" o:detectmouseclick="t" focusposition="" focussize=",90" type="gradient">
              <o:fill v:ext="view" type="gradientUnscaled"/>
            </v:fill>
            <v:shadow on="t" opacity="22938f" mv:blur="38100f" offset="0,2pt"/>
            <v:textbox style="mso-next-textbox:#_x0000_s1058" inset=",7.2pt,,7.2pt">
              <w:txbxContent>
                <w:p w:rsidR="009A1B87" w:rsidRDefault="009A1B87" w:rsidP="00117BB9">
                  <w:r>
                    <w:t xml:space="preserve"> 1d</w:t>
                  </w:r>
                </w:p>
              </w:txbxContent>
            </v:textbox>
            <w10:wrap type="tight"/>
          </v:rect>
        </w:pict>
      </w:r>
    </w:p>
    <w:p w:rsidR="00221972" w:rsidRDefault="00221972" w:rsidP="00221972">
      <w:pPr>
        <w:pStyle w:val="ListParagraph"/>
      </w:pPr>
    </w:p>
    <w:p w:rsidR="00221972" w:rsidRDefault="00221972" w:rsidP="00221972">
      <w:pPr>
        <w:pStyle w:val="ListParagraph"/>
      </w:pPr>
    </w:p>
    <w:p w:rsidR="00221972" w:rsidRDefault="00221972" w:rsidP="00221972">
      <w:pPr>
        <w:pStyle w:val="ListParagraph"/>
      </w:pPr>
    </w:p>
    <w:p w:rsidR="005E4CCB" w:rsidRDefault="005E4CCB" w:rsidP="00805530">
      <w:pPr>
        <w:tabs>
          <w:tab w:val="left" w:pos="2460"/>
        </w:tabs>
      </w:pPr>
    </w:p>
    <w:p w:rsidR="005E4CCB" w:rsidRDefault="005E4CCB" w:rsidP="00221972"/>
    <w:p w:rsidR="00655338" w:rsidRDefault="00655338" w:rsidP="00221972"/>
    <w:p w:rsidR="00221972" w:rsidRDefault="00221972" w:rsidP="00221972"/>
    <w:p w:rsidR="00655338" w:rsidRDefault="00655338" w:rsidP="001B720A">
      <w:pPr>
        <w:pStyle w:val="ListParagraph"/>
        <w:numPr>
          <w:ilvl w:val="0"/>
          <w:numId w:val="2"/>
        </w:numPr>
      </w:pPr>
      <w:r>
        <w:t>Each initial pair will play one round of the game. Each student can either play the pacifist strategy by showing a peace sign (scissors) or the aggressor strategy by showing a fist (rock).</w:t>
      </w:r>
      <w:r w:rsidR="00FD3FD6">
        <w:t xml:space="preserve"> The play is simultaneous.</w:t>
      </w:r>
    </w:p>
    <w:p w:rsidR="00655338" w:rsidRDefault="00655338" w:rsidP="00655338"/>
    <w:p w:rsidR="00655338" w:rsidRDefault="0057145D" w:rsidP="001B720A">
      <w:pPr>
        <w:pStyle w:val="ListParagraph"/>
        <w:numPr>
          <w:ilvl w:val="0"/>
          <w:numId w:val="2"/>
        </w:numPr>
      </w:pPr>
      <w:r>
        <w:t>L</w:t>
      </w:r>
      <w:r w:rsidR="00655338">
        <w:t>ead the round by saying “Ready. Hobbes, hippie, shoot!” similar to the game Rock, Paper, and Scissors.</w:t>
      </w:r>
    </w:p>
    <w:p w:rsidR="00655338" w:rsidRDefault="00655338" w:rsidP="00655338"/>
    <w:p w:rsidR="00655338" w:rsidRDefault="00655338" w:rsidP="001B720A">
      <w:pPr>
        <w:pStyle w:val="ListParagraph"/>
        <w:numPr>
          <w:ilvl w:val="0"/>
          <w:numId w:val="2"/>
        </w:numPr>
      </w:pPr>
      <w:r>
        <w:t xml:space="preserve">Upon completion of the initial round, each student should record his/her strategy, </w:t>
      </w:r>
      <w:r w:rsidR="00C6558C">
        <w:t xml:space="preserve">his/her </w:t>
      </w:r>
      <w:r>
        <w:t xml:space="preserve">pair’s strategy, and </w:t>
      </w:r>
      <w:r w:rsidR="00C6558C">
        <w:t xml:space="preserve">his/her </w:t>
      </w:r>
      <w:r>
        <w:t>payoff on his/her Student Recording Sheet.</w:t>
      </w:r>
    </w:p>
    <w:p w:rsidR="00655338" w:rsidRDefault="00655338" w:rsidP="00655338"/>
    <w:p w:rsidR="00655338" w:rsidRDefault="00655338" w:rsidP="00655338">
      <w:pPr>
        <w:pStyle w:val="ListParagraph"/>
      </w:pPr>
      <w:r>
        <w:t>For example, if the student chose to be an aggressor</w:t>
      </w:r>
      <w:r w:rsidR="000C2CC2">
        <w:t xml:space="preserve">, they should place the letter ‘A’ under the My Choice column for Round 1. If his/her initial pair also chose to be an aggressor, the student should also put the letter ‘A’ under the Other Player’s Choice column. The student should then write down their personal payoff from Round 1, </w:t>
      </w:r>
      <w:r w:rsidR="00C6558C">
        <w:t xml:space="preserve">as determined by the No Government payoff form, </w:t>
      </w:r>
      <w:r w:rsidR="000C2CC2">
        <w:t>which in this instance would be $50.</w:t>
      </w:r>
    </w:p>
    <w:p w:rsidR="00655338" w:rsidRDefault="00655338" w:rsidP="00655338">
      <w:pPr>
        <w:pStyle w:val="ListParagraph"/>
      </w:pPr>
    </w:p>
    <w:tbl>
      <w:tblPr>
        <w:tblStyle w:val="TableGrid"/>
        <w:tblW w:w="0" w:type="auto"/>
        <w:tblLook w:val="00BF"/>
      </w:tblPr>
      <w:tblGrid>
        <w:gridCol w:w="2214"/>
        <w:gridCol w:w="2214"/>
        <w:gridCol w:w="2214"/>
        <w:gridCol w:w="2214"/>
      </w:tblGrid>
      <w:tr w:rsidR="00655338">
        <w:tc>
          <w:tcPr>
            <w:tcW w:w="2214" w:type="dxa"/>
          </w:tcPr>
          <w:p w:rsidR="00655338" w:rsidRDefault="00655338" w:rsidP="00655338"/>
          <w:p w:rsidR="00655338" w:rsidRDefault="00655338" w:rsidP="00655338">
            <w:pPr>
              <w:jc w:val="center"/>
            </w:pPr>
            <w:r>
              <w:t>Round</w:t>
            </w:r>
          </w:p>
          <w:p w:rsidR="00655338" w:rsidRDefault="00655338" w:rsidP="00655338">
            <w:pPr>
              <w:jc w:val="center"/>
            </w:pPr>
          </w:p>
        </w:tc>
        <w:tc>
          <w:tcPr>
            <w:tcW w:w="2214" w:type="dxa"/>
          </w:tcPr>
          <w:p w:rsidR="00655338" w:rsidRDefault="00655338" w:rsidP="00655338">
            <w:pPr>
              <w:jc w:val="center"/>
            </w:pPr>
          </w:p>
          <w:p w:rsidR="00655338" w:rsidRDefault="00655338" w:rsidP="00655338">
            <w:pPr>
              <w:jc w:val="center"/>
            </w:pPr>
            <w:r>
              <w:t>My Choice</w:t>
            </w:r>
          </w:p>
          <w:p w:rsidR="00655338" w:rsidRDefault="00655338" w:rsidP="00655338">
            <w:pPr>
              <w:jc w:val="center"/>
            </w:pPr>
          </w:p>
        </w:tc>
        <w:tc>
          <w:tcPr>
            <w:tcW w:w="2214" w:type="dxa"/>
          </w:tcPr>
          <w:p w:rsidR="00655338" w:rsidRDefault="00655338" w:rsidP="00655338">
            <w:pPr>
              <w:jc w:val="center"/>
            </w:pPr>
          </w:p>
          <w:p w:rsidR="00655338" w:rsidRDefault="00655338" w:rsidP="00655338">
            <w:pPr>
              <w:jc w:val="center"/>
            </w:pPr>
            <w:r>
              <w:t>Other Player’s Choice</w:t>
            </w:r>
          </w:p>
          <w:p w:rsidR="00655338" w:rsidRPr="003F41F1" w:rsidRDefault="00655338" w:rsidP="00655338">
            <w:pPr>
              <w:jc w:val="center"/>
              <w:rPr>
                <w:sz w:val="28"/>
              </w:rPr>
            </w:pPr>
          </w:p>
        </w:tc>
        <w:tc>
          <w:tcPr>
            <w:tcW w:w="2214" w:type="dxa"/>
          </w:tcPr>
          <w:p w:rsidR="00655338" w:rsidRDefault="00655338" w:rsidP="00655338">
            <w:pPr>
              <w:jc w:val="center"/>
            </w:pPr>
          </w:p>
          <w:p w:rsidR="00655338" w:rsidRDefault="00655338" w:rsidP="00655338">
            <w:pPr>
              <w:jc w:val="center"/>
            </w:pPr>
            <w:r>
              <w:t>My Payoff</w:t>
            </w:r>
          </w:p>
        </w:tc>
      </w:tr>
      <w:tr w:rsidR="00655338">
        <w:tc>
          <w:tcPr>
            <w:tcW w:w="2214" w:type="dxa"/>
          </w:tcPr>
          <w:p w:rsidR="00655338" w:rsidRPr="00FE4024" w:rsidRDefault="00655338" w:rsidP="00655338">
            <w:pPr>
              <w:jc w:val="center"/>
              <w:rPr>
                <w:sz w:val="20"/>
              </w:rPr>
            </w:pPr>
          </w:p>
          <w:p w:rsidR="00655338" w:rsidRDefault="00655338" w:rsidP="00655338">
            <w:pPr>
              <w:jc w:val="center"/>
            </w:pPr>
            <w:r>
              <w:t>1</w:t>
            </w:r>
          </w:p>
          <w:p w:rsidR="00655338" w:rsidRPr="00FE4024" w:rsidRDefault="00655338" w:rsidP="00655338">
            <w:pPr>
              <w:jc w:val="center"/>
              <w:rPr>
                <w:sz w:val="20"/>
              </w:rPr>
            </w:pPr>
          </w:p>
        </w:tc>
        <w:tc>
          <w:tcPr>
            <w:tcW w:w="2214" w:type="dxa"/>
          </w:tcPr>
          <w:p w:rsidR="000C2CC2" w:rsidRDefault="000C2CC2" w:rsidP="00655338">
            <w:pPr>
              <w:jc w:val="center"/>
            </w:pPr>
          </w:p>
          <w:p w:rsidR="00655338" w:rsidRDefault="000C2CC2" w:rsidP="00655338">
            <w:pPr>
              <w:jc w:val="center"/>
            </w:pPr>
            <w:r>
              <w:t>A</w:t>
            </w:r>
          </w:p>
        </w:tc>
        <w:tc>
          <w:tcPr>
            <w:tcW w:w="2214" w:type="dxa"/>
          </w:tcPr>
          <w:p w:rsidR="000C2CC2" w:rsidRDefault="000C2CC2" w:rsidP="00655338">
            <w:pPr>
              <w:jc w:val="center"/>
            </w:pPr>
          </w:p>
          <w:p w:rsidR="00655338" w:rsidRDefault="000C2CC2" w:rsidP="00655338">
            <w:pPr>
              <w:jc w:val="center"/>
            </w:pPr>
            <w:r>
              <w:t>A</w:t>
            </w:r>
          </w:p>
        </w:tc>
        <w:tc>
          <w:tcPr>
            <w:tcW w:w="2214" w:type="dxa"/>
          </w:tcPr>
          <w:p w:rsidR="000C2CC2" w:rsidRDefault="000C2CC2" w:rsidP="00655338">
            <w:pPr>
              <w:jc w:val="center"/>
            </w:pPr>
          </w:p>
          <w:p w:rsidR="00655338" w:rsidRDefault="000C2CC2" w:rsidP="00655338">
            <w:pPr>
              <w:jc w:val="center"/>
            </w:pPr>
            <w:r>
              <w:t>50</w:t>
            </w:r>
          </w:p>
        </w:tc>
      </w:tr>
    </w:tbl>
    <w:p w:rsidR="00655338" w:rsidRDefault="00655338" w:rsidP="00655338"/>
    <w:p w:rsidR="000C2CC2" w:rsidRDefault="000C2CC2" w:rsidP="001B720A">
      <w:pPr>
        <w:pStyle w:val="ListParagraph"/>
        <w:numPr>
          <w:ilvl w:val="0"/>
          <w:numId w:val="2"/>
        </w:numPr>
      </w:pPr>
      <w:r>
        <w:t>When all students have rec</w:t>
      </w:r>
      <w:r w:rsidR="00C6558C">
        <w:t>orded the strategies and payoff</w:t>
      </w:r>
      <w:r>
        <w:t xml:space="preserve"> for Round 1, Round 2 can begin. All the standing students should move one desk to their right.</w:t>
      </w:r>
    </w:p>
    <w:p w:rsidR="000C2CC2" w:rsidRDefault="000C2CC2" w:rsidP="000C2CC2">
      <w:pPr>
        <w:pStyle w:val="ListParagraph"/>
      </w:pPr>
    </w:p>
    <w:p w:rsidR="000C2CC2" w:rsidRDefault="000C2CC2" w:rsidP="000C2CC2">
      <w:pPr>
        <w:pStyle w:val="ListParagraph"/>
      </w:pPr>
      <w:r>
        <w:t>Using the seating chart above as a reference, Student 2a would now be standing in front of Student 1b. Likewise, Student 2f would be standing in front of Student 1a.</w:t>
      </w:r>
    </w:p>
    <w:p w:rsidR="000C2CC2" w:rsidRDefault="000C2CC2" w:rsidP="000C2CC2">
      <w:pPr>
        <w:pStyle w:val="ListParagraph"/>
      </w:pPr>
    </w:p>
    <w:p w:rsidR="000C2CC2" w:rsidRDefault="0057145D" w:rsidP="001B720A">
      <w:pPr>
        <w:pStyle w:val="ListParagraph"/>
        <w:numPr>
          <w:ilvl w:val="0"/>
          <w:numId w:val="2"/>
        </w:numPr>
      </w:pPr>
      <w:r>
        <w:t>O</w:t>
      </w:r>
      <w:r w:rsidR="000C2CC2">
        <w:t xml:space="preserve">nce again, </w:t>
      </w:r>
      <w:r>
        <w:t xml:space="preserve">begin by </w:t>
      </w:r>
      <w:r w:rsidR="000C2CC2">
        <w:t>say</w:t>
      </w:r>
      <w:r>
        <w:t>ing</w:t>
      </w:r>
      <w:r w:rsidR="000C2CC2">
        <w:t>, “Ready. Hobbes, hippie, shoot!” The students s</w:t>
      </w:r>
      <w:r>
        <w:t>hould record their results for Round T</w:t>
      </w:r>
      <w:r w:rsidR="000C2CC2">
        <w:t>wo. For example:</w:t>
      </w:r>
    </w:p>
    <w:p w:rsidR="000C2CC2" w:rsidRDefault="000C2CC2" w:rsidP="00C6558C"/>
    <w:tbl>
      <w:tblPr>
        <w:tblStyle w:val="TableGrid"/>
        <w:tblW w:w="0" w:type="auto"/>
        <w:tblLook w:val="00BF"/>
      </w:tblPr>
      <w:tblGrid>
        <w:gridCol w:w="2214"/>
        <w:gridCol w:w="2214"/>
        <w:gridCol w:w="2214"/>
        <w:gridCol w:w="2214"/>
      </w:tblGrid>
      <w:tr w:rsidR="000C2CC2">
        <w:tc>
          <w:tcPr>
            <w:tcW w:w="2214" w:type="dxa"/>
          </w:tcPr>
          <w:p w:rsidR="000C2CC2" w:rsidRDefault="000C2CC2" w:rsidP="000C2CC2"/>
          <w:p w:rsidR="000C2CC2" w:rsidRDefault="000C2CC2" w:rsidP="000C2CC2">
            <w:pPr>
              <w:jc w:val="center"/>
            </w:pPr>
            <w:r>
              <w:t>Round</w:t>
            </w:r>
          </w:p>
          <w:p w:rsidR="000C2CC2" w:rsidRDefault="000C2CC2" w:rsidP="000C2CC2">
            <w:pPr>
              <w:jc w:val="center"/>
            </w:pPr>
          </w:p>
        </w:tc>
        <w:tc>
          <w:tcPr>
            <w:tcW w:w="2214" w:type="dxa"/>
          </w:tcPr>
          <w:p w:rsidR="000C2CC2" w:rsidRDefault="000C2CC2" w:rsidP="000C2CC2">
            <w:pPr>
              <w:jc w:val="center"/>
            </w:pPr>
          </w:p>
          <w:p w:rsidR="000C2CC2" w:rsidRDefault="000C2CC2" w:rsidP="000C2CC2">
            <w:pPr>
              <w:jc w:val="center"/>
            </w:pPr>
            <w:r>
              <w:t>My Choice</w:t>
            </w:r>
          </w:p>
          <w:p w:rsidR="000C2CC2" w:rsidRDefault="000C2CC2" w:rsidP="000C2CC2">
            <w:pPr>
              <w:jc w:val="center"/>
            </w:pPr>
          </w:p>
        </w:tc>
        <w:tc>
          <w:tcPr>
            <w:tcW w:w="2214" w:type="dxa"/>
          </w:tcPr>
          <w:p w:rsidR="000C2CC2" w:rsidRDefault="000C2CC2" w:rsidP="000C2CC2">
            <w:pPr>
              <w:jc w:val="center"/>
            </w:pPr>
          </w:p>
          <w:p w:rsidR="000C2CC2" w:rsidRDefault="000C2CC2" w:rsidP="000C2CC2">
            <w:pPr>
              <w:jc w:val="center"/>
            </w:pPr>
            <w:r>
              <w:t>Other Player’s Choice</w:t>
            </w:r>
          </w:p>
          <w:p w:rsidR="000C2CC2" w:rsidRPr="003F41F1" w:rsidRDefault="000C2CC2" w:rsidP="000C2CC2">
            <w:pPr>
              <w:jc w:val="center"/>
              <w:rPr>
                <w:sz w:val="28"/>
              </w:rPr>
            </w:pPr>
          </w:p>
        </w:tc>
        <w:tc>
          <w:tcPr>
            <w:tcW w:w="2214" w:type="dxa"/>
          </w:tcPr>
          <w:p w:rsidR="000C2CC2" w:rsidRDefault="000C2CC2" w:rsidP="000C2CC2">
            <w:pPr>
              <w:jc w:val="center"/>
            </w:pPr>
          </w:p>
          <w:p w:rsidR="000C2CC2" w:rsidRDefault="000C2CC2" w:rsidP="000C2CC2">
            <w:pPr>
              <w:jc w:val="center"/>
            </w:pPr>
            <w:r>
              <w:t>My Payoff</w:t>
            </w:r>
          </w:p>
        </w:tc>
      </w:tr>
      <w:tr w:rsidR="000C2CC2">
        <w:tc>
          <w:tcPr>
            <w:tcW w:w="2214" w:type="dxa"/>
          </w:tcPr>
          <w:p w:rsidR="000C2CC2" w:rsidRPr="00FE4024" w:rsidRDefault="000C2CC2" w:rsidP="000C2CC2">
            <w:pPr>
              <w:jc w:val="center"/>
              <w:rPr>
                <w:sz w:val="20"/>
              </w:rPr>
            </w:pPr>
          </w:p>
          <w:p w:rsidR="000C2CC2" w:rsidRDefault="000C2CC2" w:rsidP="000C2CC2">
            <w:pPr>
              <w:jc w:val="center"/>
            </w:pPr>
            <w:r>
              <w:t>1</w:t>
            </w:r>
          </w:p>
          <w:p w:rsidR="000C2CC2" w:rsidRPr="00FE4024" w:rsidRDefault="000C2CC2" w:rsidP="000C2CC2">
            <w:pPr>
              <w:jc w:val="center"/>
              <w:rPr>
                <w:sz w:val="20"/>
              </w:rPr>
            </w:pPr>
          </w:p>
        </w:tc>
        <w:tc>
          <w:tcPr>
            <w:tcW w:w="2214" w:type="dxa"/>
          </w:tcPr>
          <w:p w:rsidR="000C2CC2" w:rsidRDefault="000C2CC2" w:rsidP="000C2CC2">
            <w:pPr>
              <w:jc w:val="center"/>
            </w:pPr>
          </w:p>
          <w:p w:rsidR="000C2CC2" w:rsidRDefault="000C2CC2" w:rsidP="000C2CC2">
            <w:pPr>
              <w:jc w:val="center"/>
            </w:pPr>
            <w:r>
              <w:t>A</w:t>
            </w:r>
          </w:p>
        </w:tc>
        <w:tc>
          <w:tcPr>
            <w:tcW w:w="2214" w:type="dxa"/>
          </w:tcPr>
          <w:p w:rsidR="000C2CC2" w:rsidRDefault="000C2CC2" w:rsidP="000C2CC2">
            <w:pPr>
              <w:jc w:val="center"/>
            </w:pPr>
          </w:p>
          <w:p w:rsidR="000C2CC2" w:rsidRDefault="000C2CC2" w:rsidP="000C2CC2">
            <w:pPr>
              <w:jc w:val="center"/>
            </w:pPr>
            <w:r>
              <w:t>A</w:t>
            </w:r>
          </w:p>
        </w:tc>
        <w:tc>
          <w:tcPr>
            <w:tcW w:w="2214" w:type="dxa"/>
          </w:tcPr>
          <w:p w:rsidR="000C2CC2" w:rsidRDefault="000C2CC2" w:rsidP="000C2CC2">
            <w:pPr>
              <w:jc w:val="center"/>
            </w:pPr>
          </w:p>
          <w:p w:rsidR="000C2CC2" w:rsidRDefault="000C2CC2" w:rsidP="000C2CC2">
            <w:pPr>
              <w:jc w:val="center"/>
            </w:pPr>
            <w:r>
              <w:t>50</w:t>
            </w:r>
          </w:p>
        </w:tc>
      </w:tr>
      <w:tr w:rsidR="000C2CC2">
        <w:tc>
          <w:tcPr>
            <w:tcW w:w="2214" w:type="dxa"/>
          </w:tcPr>
          <w:p w:rsidR="000C2CC2" w:rsidRPr="00FE4024" w:rsidRDefault="000C2CC2" w:rsidP="000C2CC2">
            <w:pPr>
              <w:jc w:val="center"/>
              <w:rPr>
                <w:sz w:val="20"/>
              </w:rPr>
            </w:pPr>
          </w:p>
          <w:p w:rsidR="000C2CC2" w:rsidRDefault="000C2CC2" w:rsidP="000C2CC2">
            <w:pPr>
              <w:jc w:val="center"/>
            </w:pPr>
            <w:r>
              <w:t>2</w:t>
            </w:r>
          </w:p>
          <w:p w:rsidR="000C2CC2" w:rsidRPr="00FE4024" w:rsidRDefault="000C2CC2" w:rsidP="000C2CC2">
            <w:pPr>
              <w:jc w:val="center"/>
              <w:rPr>
                <w:sz w:val="20"/>
              </w:rPr>
            </w:pPr>
          </w:p>
        </w:tc>
        <w:tc>
          <w:tcPr>
            <w:tcW w:w="2214" w:type="dxa"/>
          </w:tcPr>
          <w:p w:rsidR="000C2CC2" w:rsidRDefault="000C2CC2" w:rsidP="000C2CC2">
            <w:pPr>
              <w:jc w:val="center"/>
            </w:pPr>
          </w:p>
          <w:p w:rsidR="000C2CC2" w:rsidRDefault="00C6558C" w:rsidP="000C2CC2">
            <w:pPr>
              <w:jc w:val="center"/>
            </w:pPr>
            <w:r>
              <w:t>P</w:t>
            </w:r>
          </w:p>
        </w:tc>
        <w:tc>
          <w:tcPr>
            <w:tcW w:w="2214" w:type="dxa"/>
          </w:tcPr>
          <w:p w:rsidR="000C2CC2" w:rsidRDefault="000C2CC2" w:rsidP="000C2CC2">
            <w:pPr>
              <w:jc w:val="center"/>
            </w:pPr>
          </w:p>
          <w:p w:rsidR="000C2CC2" w:rsidRDefault="00C6558C" w:rsidP="000C2CC2">
            <w:pPr>
              <w:jc w:val="center"/>
            </w:pPr>
            <w:r>
              <w:t>A</w:t>
            </w:r>
          </w:p>
        </w:tc>
        <w:tc>
          <w:tcPr>
            <w:tcW w:w="2214" w:type="dxa"/>
          </w:tcPr>
          <w:p w:rsidR="00BD4C05" w:rsidRDefault="00BD4C05" w:rsidP="000C2CC2">
            <w:pPr>
              <w:jc w:val="center"/>
            </w:pPr>
          </w:p>
          <w:p w:rsidR="000C2CC2" w:rsidRDefault="00C6558C" w:rsidP="000C2CC2">
            <w:pPr>
              <w:jc w:val="center"/>
            </w:pPr>
            <w:r>
              <w:t>0</w:t>
            </w:r>
          </w:p>
        </w:tc>
      </w:tr>
    </w:tbl>
    <w:p w:rsidR="000C2CC2" w:rsidRDefault="000C2CC2" w:rsidP="000C2CC2">
      <w:pPr>
        <w:pStyle w:val="ListParagraph"/>
      </w:pPr>
    </w:p>
    <w:p w:rsidR="000C2CC2" w:rsidRDefault="000C2CC2" w:rsidP="000C2CC2">
      <w:pPr>
        <w:pStyle w:val="ListParagraph"/>
      </w:pPr>
    </w:p>
    <w:p w:rsidR="000C2CC2" w:rsidRDefault="000C2CC2" w:rsidP="000C2CC2">
      <w:pPr>
        <w:pStyle w:val="ListParagraph"/>
      </w:pPr>
    </w:p>
    <w:p w:rsidR="000C2CC2" w:rsidRDefault="000C2CC2" w:rsidP="000C2CC2">
      <w:pPr>
        <w:pStyle w:val="ListParagraph"/>
      </w:pPr>
    </w:p>
    <w:p w:rsidR="000C2CC2" w:rsidRDefault="000C2CC2" w:rsidP="000C2CC2">
      <w:pPr>
        <w:pStyle w:val="ListParagraph"/>
      </w:pPr>
    </w:p>
    <w:p w:rsidR="00BD4C05" w:rsidRDefault="000C2CC2" w:rsidP="001B720A">
      <w:pPr>
        <w:pStyle w:val="ListParagraph"/>
        <w:numPr>
          <w:ilvl w:val="0"/>
          <w:numId w:val="2"/>
        </w:numPr>
      </w:pPr>
      <w:r>
        <w:t>T</w:t>
      </w:r>
      <w:r w:rsidR="00BD4C05">
        <w:t>he students will continue playing new rounds until they return to the pe</w:t>
      </w:r>
      <w:r w:rsidR="00275628">
        <w:t>rson who was their original partner</w:t>
      </w:r>
      <w:r w:rsidR="00BD4C05">
        <w:t>. At this point, all students can return to their seats and tabulate their total payoff.</w:t>
      </w:r>
    </w:p>
    <w:p w:rsidR="00BD4C05" w:rsidRDefault="00BD4C05" w:rsidP="00BD4C05">
      <w:pPr>
        <w:pStyle w:val="ListParagraph"/>
      </w:pPr>
    </w:p>
    <w:p w:rsidR="00BD4C05" w:rsidRDefault="0057145D" w:rsidP="001B720A">
      <w:pPr>
        <w:pStyle w:val="ListParagraph"/>
        <w:numPr>
          <w:ilvl w:val="0"/>
          <w:numId w:val="2"/>
        </w:numPr>
      </w:pPr>
      <w:r>
        <w:t>D</w:t>
      </w:r>
      <w:r w:rsidR="00275628">
        <w:t>etermine who has</w:t>
      </w:r>
      <w:r>
        <w:t xml:space="preserve"> the highest payoff and ask the winning student(s) to explain his/her</w:t>
      </w:r>
      <w:r w:rsidR="00BD4C05">
        <w:t xml:space="preserve"> strategy.</w:t>
      </w:r>
    </w:p>
    <w:p w:rsidR="00BD4C05" w:rsidRDefault="00BD4C05" w:rsidP="00BD4C05"/>
    <w:p w:rsidR="00BD4C05" w:rsidRDefault="00BD4C05" w:rsidP="00C6558C">
      <w:pPr>
        <w:pStyle w:val="ListParagraph"/>
      </w:pPr>
      <w:r>
        <w:t>It will likely be revealed that a majority of students determined that an aggressive strategy is always the best strategy, regardless o</w:t>
      </w:r>
      <w:r w:rsidR="00275628">
        <w:t>f the strategy that his/her pair</w:t>
      </w:r>
      <w:r>
        <w:t xml:space="preserve"> selects.</w:t>
      </w:r>
    </w:p>
    <w:p w:rsidR="00BD4C05" w:rsidRDefault="00BD4C05" w:rsidP="00BD4C05"/>
    <w:p w:rsidR="00C6558C" w:rsidRPr="00C6558C" w:rsidRDefault="00C6558C" w:rsidP="001B720A">
      <w:pPr>
        <w:pStyle w:val="ListParagraph"/>
        <w:numPr>
          <w:ilvl w:val="0"/>
          <w:numId w:val="2"/>
        </w:numPr>
        <w:rPr>
          <w:b/>
        </w:rPr>
      </w:pPr>
      <w:r w:rsidRPr="00C6558C">
        <w:rPr>
          <w:b/>
        </w:rPr>
        <w:t>Play Movie 2</w:t>
      </w:r>
    </w:p>
    <w:p w:rsidR="00C6558C" w:rsidRDefault="00C6558C" w:rsidP="00C6558C">
      <w:pPr>
        <w:pStyle w:val="ListParagraph"/>
      </w:pPr>
    </w:p>
    <w:p w:rsidR="006F3E4B" w:rsidRDefault="0058207A" w:rsidP="001B720A">
      <w:pPr>
        <w:pStyle w:val="ListParagraph"/>
        <w:numPr>
          <w:ilvl w:val="0"/>
          <w:numId w:val="2"/>
        </w:numPr>
      </w:pPr>
      <w:r>
        <w:t xml:space="preserve">Ask </w:t>
      </w:r>
      <w:r w:rsidR="0057145D">
        <w:t>students</w:t>
      </w:r>
      <w:r w:rsidR="006F3E4B">
        <w:t>,</w:t>
      </w:r>
      <w:r w:rsidR="0057145D">
        <w:t xml:space="preserve"> </w:t>
      </w:r>
      <w:r w:rsidR="006F3E4B">
        <w:t>“How could the presence of government reduce the level of aggression?”</w:t>
      </w:r>
      <w:r w:rsidR="00C6558C">
        <w:t xml:space="preserve"> </w:t>
      </w:r>
    </w:p>
    <w:p w:rsidR="006F3E4B" w:rsidRDefault="006F3E4B" w:rsidP="006F3E4B">
      <w:pPr>
        <w:pStyle w:val="ListParagraph"/>
      </w:pPr>
    </w:p>
    <w:p w:rsidR="0057145D" w:rsidRDefault="006F5149" w:rsidP="001B720A">
      <w:pPr>
        <w:pStyle w:val="ListParagraph"/>
        <w:numPr>
          <w:ilvl w:val="0"/>
          <w:numId w:val="2"/>
        </w:numPr>
      </w:pPr>
      <w:r>
        <w:t>Students may claim that</w:t>
      </w:r>
      <w:r w:rsidR="0058207A">
        <w:t xml:space="preserve"> government could encourage citizens to play a pacifist strategy by creating and enforcing laws that </w:t>
      </w:r>
      <w:r w:rsidR="0057145D">
        <w:t>punish aggression</w:t>
      </w:r>
      <w:r w:rsidR="006F3E4B">
        <w:t>, for example,</w:t>
      </w:r>
      <w:r w:rsidR="0057145D">
        <w:t xml:space="preserve"> by fining all who chose the ‘A’ strategy.</w:t>
      </w:r>
      <w:r w:rsidR="0058207A">
        <w:t xml:space="preserve"> </w:t>
      </w:r>
    </w:p>
    <w:p w:rsidR="0058207A" w:rsidRDefault="0058207A" w:rsidP="0058207A"/>
    <w:p w:rsidR="0058207A" w:rsidRPr="006F5149" w:rsidRDefault="0058207A" w:rsidP="006F5149">
      <w:pPr>
        <w:pStyle w:val="ListParagraph"/>
        <w:numPr>
          <w:ilvl w:val="0"/>
          <w:numId w:val="2"/>
        </w:numPr>
        <w:rPr>
          <w:b/>
        </w:rPr>
      </w:pPr>
      <w:r w:rsidRPr="0058207A">
        <w:rPr>
          <w:b/>
        </w:rPr>
        <w:t>Play Movie 3</w:t>
      </w:r>
    </w:p>
    <w:p w:rsidR="0058207A" w:rsidRDefault="0058207A" w:rsidP="0058207A"/>
    <w:p w:rsidR="006F5149" w:rsidRDefault="006F5149" w:rsidP="006F5149">
      <w:pPr>
        <w:pStyle w:val="ListParagraph"/>
        <w:numPr>
          <w:ilvl w:val="0"/>
          <w:numId w:val="2"/>
        </w:numPr>
      </w:pPr>
      <w:r>
        <w:t>Hand out the ‘Government’ payoff structure.</w:t>
      </w:r>
    </w:p>
    <w:p w:rsidR="006F5149" w:rsidRDefault="006F5149" w:rsidP="006F5149"/>
    <w:p w:rsidR="00BD6CA3" w:rsidRDefault="0057145D" w:rsidP="001B720A">
      <w:pPr>
        <w:pStyle w:val="ListParagraph"/>
        <w:numPr>
          <w:ilvl w:val="0"/>
          <w:numId w:val="2"/>
        </w:numPr>
      </w:pPr>
      <w:r>
        <w:t xml:space="preserve">You can repeat the entire game </w:t>
      </w:r>
      <w:r w:rsidR="006F3E4B">
        <w:t xml:space="preserve">under the new </w:t>
      </w:r>
      <w:r w:rsidR="0058207A">
        <w:t xml:space="preserve">payoff </w:t>
      </w:r>
      <w:r w:rsidR="006F3E4B">
        <w:t xml:space="preserve">structure </w:t>
      </w:r>
      <w:r>
        <w:t>or simply lead a class discussion.</w:t>
      </w:r>
    </w:p>
    <w:p w:rsidR="00BD6CA3" w:rsidRDefault="00BD6CA3" w:rsidP="00BD6CA3"/>
    <w:p w:rsidR="0057145D" w:rsidRDefault="00BD6CA3" w:rsidP="00BD6CA3">
      <w:pPr>
        <w:pStyle w:val="ListParagraph"/>
      </w:pPr>
      <w:r>
        <w:t>Students will quick</w:t>
      </w:r>
      <w:r w:rsidR="00275628">
        <w:t xml:space="preserve">ly realize that under the ‘Government’ payoff structure </w:t>
      </w:r>
      <w:r>
        <w:t>pacifism is always the best strategy, regardless of the strategy that a pair selects.</w:t>
      </w:r>
    </w:p>
    <w:p w:rsidR="0057145D" w:rsidRDefault="0057145D" w:rsidP="0057145D"/>
    <w:p w:rsidR="009A1B87" w:rsidRPr="009A1B87" w:rsidRDefault="009A1B87" w:rsidP="001B720A">
      <w:pPr>
        <w:pStyle w:val="ListParagraph"/>
        <w:numPr>
          <w:ilvl w:val="0"/>
          <w:numId w:val="2"/>
        </w:numPr>
        <w:rPr>
          <w:b/>
        </w:rPr>
      </w:pPr>
      <w:r w:rsidRPr="009A1B87">
        <w:rPr>
          <w:b/>
        </w:rPr>
        <w:t>Play Movie 4</w:t>
      </w:r>
    </w:p>
    <w:p w:rsidR="009A1B87" w:rsidRDefault="009A1B87" w:rsidP="009A1B87">
      <w:pPr>
        <w:pStyle w:val="ListParagraph"/>
      </w:pPr>
    </w:p>
    <w:p w:rsidR="006F5149" w:rsidRDefault="00BD6CA3" w:rsidP="001B720A">
      <w:pPr>
        <w:pStyle w:val="ListParagraph"/>
        <w:numPr>
          <w:ilvl w:val="0"/>
          <w:numId w:val="2"/>
        </w:numPr>
      </w:pPr>
      <w:r>
        <w:t>Lead a brief discussion on how the presence of government, through the creation and enforcement of laws against aggression, reduces levels of violence.</w:t>
      </w:r>
    </w:p>
    <w:p w:rsidR="006F5149" w:rsidRDefault="006F5149" w:rsidP="006F5149"/>
    <w:p w:rsidR="00506FA9" w:rsidRDefault="006F5149" w:rsidP="001B720A">
      <w:pPr>
        <w:pStyle w:val="ListParagraph"/>
        <w:numPr>
          <w:ilvl w:val="0"/>
          <w:numId w:val="2"/>
        </w:numPr>
      </w:pPr>
      <w:r>
        <w:t>Move on to Step 2</w:t>
      </w:r>
      <w:r w:rsidR="00506FA9">
        <w:t xml:space="preserve"> and play Movie 5</w:t>
      </w:r>
    </w:p>
    <w:p w:rsidR="00506FA9" w:rsidRDefault="00506FA9" w:rsidP="00506FA9"/>
    <w:p w:rsidR="001B720A" w:rsidRDefault="00506FA9" w:rsidP="001B720A">
      <w:pPr>
        <w:pStyle w:val="ListParagraph"/>
        <w:numPr>
          <w:ilvl w:val="0"/>
          <w:numId w:val="2"/>
        </w:numPr>
      </w:pPr>
      <w:r>
        <w:t>Move to Step 3, distribute the editorial assignment, and explore the enrichment opportunities provided.</w:t>
      </w:r>
    </w:p>
    <w:sectPr w:rsidR="001B720A" w:rsidSect="002E6D64">
      <w:footerReference w:type="even" r:id="rId5"/>
      <w:foot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D64" w:rsidRDefault="004F09D2" w:rsidP="00252759">
    <w:pPr>
      <w:pStyle w:val="Footer"/>
      <w:framePr w:wrap="around" w:vAnchor="text" w:hAnchor="margin" w:xAlign="center" w:y="1"/>
      <w:rPr>
        <w:rStyle w:val="PageNumber"/>
      </w:rPr>
    </w:pPr>
    <w:r>
      <w:rPr>
        <w:rStyle w:val="PageNumber"/>
      </w:rPr>
      <w:fldChar w:fldCharType="begin"/>
    </w:r>
    <w:r w:rsidR="002E6D64">
      <w:rPr>
        <w:rStyle w:val="PageNumber"/>
      </w:rPr>
      <w:instrText xml:space="preserve">PAGE  </w:instrText>
    </w:r>
    <w:r>
      <w:rPr>
        <w:rStyle w:val="PageNumber"/>
      </w:rPr>
      <w:fldChar w:fldCharType="end"/>
    </w:r>
  </w:p>
  <w:p w:rsidR="002E6D64" w:rsidRDefault="002E6D64">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6D64" w:rsidRDefault="004F09D2" w:rsidP="00252759">
    <w:pPr>
      <w:pStyle w:val="Footer"/>
      <w:framePr w:wrap="around" w:vAnchor="text" w:hAnchor="margin" w:xAlign="center" w:y="1"/>
      <w:rPr>
        <w:rStyle w:val="PageNumber"/>
      </w:rPr>
    </w:pPr>
    <w:r>
      <w:rPr>
        <w:rStyle w:val="PageNumber"/>
      </w:rPr>
      <w:fldChar w:fldCharType="begin"/>
    </w:r>
    <w:r w:rsidR="002E6D64">
      <w:rPr>
        <w:rStyle w:val="PageNumber"/>
      </w:rPr>
      <w:instrText xml:space="preserve">PAGE  </w:instrText>
    </w:r>
    <w:r>
      <w:rPr>
        <w:rStyle w:val="PageNumber"/>
      </w:rPr>
      <w:fldChar w:fldCharType="separate"/>
    </w:r>
    <w:r w:rsidR="00506FA9">
      <w:rPr>
        <w:rStyle w:val="PageNumber"/>
        <w:noProof/>
      </w:rPr>
      <w:t>3</w:t>
    </w:r>
    <w:r>
      <w:rPr>
        <w:rStyle w:val="PageNumber"/>
      </w:rPr>
      <w:fldChar w:fldCharType="end"/>
    </w:r>
  </w:p>
  <w:p w:rsidR="002E6D64" w:rsidRDefault="002E6D64">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B03874"/>
    <w:multiLevelType w:val="hybridMultilevel"/>
    <w:tmpl w:val="E0A0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C74A4C"/>
    <w:multiLevelType w:val="hybridMultilevel"/>
    <w:tmpl w:val="4A900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1B720A"/>
    <w:rsid w:val="00092413"/>
    <w:rsid w:val="00096CFB"/>
    <w:rsid w:val="000C2CC2"/>
    <w:rsid w:val="00117BB9"/>
    <w:rsid w:val="001B720A"/>
    <w:rsid w:val="00221972"/>
    <w:rsid w:val="00275628"/>
    <w:rsid w:val="002E6D64"/>
    <w:rsid w:val="003C5C3D"/>
    <w:rsid w:val="004E3F49"/>
    <w:rsid w:val="004F09D2"/>
    <w:rsid w:val="00506FA9"/>
    <w:rsid w:val="0057145D"/>
    <w:rsid w:val="0058207A"/>
    <w:rsid w:val="005E4CCB"/>
    <w:rsid w:val="00655338"/>
    <w:rsid w:val="006866A4"/>
    <w:rsid w:val="006D6581"/>
    <w:rsid w:val="006F3E4B"/>
    <w:rsid w:val="006F5149"/>
    <w:rsid w:val="007E0363"/>
    <w:rsid w:val="00805530"/>
    <w:rsid w:val="009A1B87"/>
    <w:rsid w:val="009E7436"/>
    <w:rsid w:val="00A07543"/>
    <w:rsid w:val="00A41225"/>
    <w:rsid w:val="00B91ACB"/>
    <w:rsid w:val="00BD4C05"/>
    <w:rsid w:val="00BD6CA3"/>
    <w:rsid w:val="00C6558C"/>
    <w:rsid w:val="00E24CA4"/>
    <w:rsid w:val="00FD3F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B720A"/>
    <w:pPr>
      <w:ind w:left="720"/>
      <w:contextualSpacing/>
    </w:pPr>
  </w:style>
  <w:style w:type="table" w:styleId="TableGrid">
    <w:name w:val="Table Grid"/>
    <w:basedOn w:val="TableNormal"/>
    <w:uiPriority w:val="59"/>
    <w:rsid w:val="006553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E6D64"/>
    <w:pPr>
      <w:tabs>
        <w:tab w:val="center" w:pos="4320"/>
        <w:tab w:val="right" w:pos="8640"/>
      </w:tabs>
    </w:pPr>
  </w:style>
  <w:style w:type="character" w:customStyle="1" w:styleId="FooterChar">
    <w:name w:val="Footer Char"/>
    <w:basedOn w:val="DefaultParagraphFont"/>
    <w:link w:val="Footer"/>
    <w:uiPriority w:val="99"/>
    <w:semiHidden/>
    <w:rsid w:val="002E6D64"/>
  </w:style>
  <w:style w:type="character" w:styleId="PageNumber">
    <w:name w:val="page number"/>
    <w:basedOn w:val="DefaultParagraphFont"/>
    <w:uiPriority w:val="99"/>
    <w:semiHidden/>
    <w:unhideWhenUsed/>
    <w:rsid w:val="002E6D6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538</Words>
  <Characters>3071</Characters>
  <Application>Microsoft Word 12.1.0</Application>
  <DocSecurity>0</DocSecurity>
  <Lines>25</Lines>
  <Paragraphs>6</Paragraphs>
  <ScaleCrop>false</ScaleCrop>
  <Company>Williamsville Central Schools</Company>
  <LinksUpToDate>false</LinksUpToDate>
  <CharactersWithSpaces>3771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Redmond</dc:creator>
  <cp:keywords/>
  <cp:lastModifiedBy>Timothy Redmond</cp:lastModifiedBy>
  <cp:revision>9</cp:revision>
  <dcterms:created xsi:type="dcterms:W3CDTF">2013-07-13T13:54:00Z</dcterms:created>
  <dcterms:modified xsi:type="dcterms:W3CDTF">2013-09-10T21:58:00Z</dcterms:modified>
</cp:coreProperties>
</file>